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f5fa6d8" w14:textId="f5fa6d8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организации и проведения внутренней и внешней экспертиз качества медицинских услуг (помощи)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Республики Казахстан от 3 декабря 2020 года № ҚР ДСМ-230/2020. Зарегистрирован в Министерстве юстиции Республики Казахстан 4 декабря 2020 года № 21727.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c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35 Кодекса Республики Казахстан от 7 июля 2020 года "О здоровье народа и системе здравоохранения"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прилагаемые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 и проведения внутренней и внешней экспертиз качества медицинских услуг (помощи).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утратившими силу некоторые приказы в области здравоохранения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медицинского и фармацевтического контроля Министерства здравоохранения Республики Казахстан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Контроль за настоящим приказом возложить на курирующего вице-министра здравоохранения Республики Казахстан.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здравоохранения</w:t>
            </w:r>
          </w:p>
          <w:p>
            <w:pPr>
              <w:spacing w:after="20"/>
              <w:ind w:left="20"/>
              <w:jc w:val="both"/>
            </w:pPr>
          </w:p>
          <w:p>
            <w:pPr>
              <w:spacing w:after="0"/>
              <w:ind w:left="0"/>
              <w:jc w:val="left"/>
            </w:pP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Цой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Утверждены приказом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ДСМ-230/2020</w:t>
            </w:r>
          </w:p>
        </w:tc>
      </w:tr>
    </w:tbl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организации и проведения внутренней и внешней экспертиз качества медицинских услуг (помощи)</w:t>
      </w:r>
    </w:p>
    <w:bookmarkEnd w:id="9"/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Правила организации и проведения внутренней и внешней экспертиз качества медицинских услуг (помощи) (далее – Правила) разработаны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5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35 Кодекса Республики Казахстан от 7 июля 2020 года "О здоровье народа и системе здравоохранения" (далее – Кодекс) и определяют порядок организации и проведения внутренней и внешней экспертиз качества медицинских услуг (помощи), оказываемых субъектами здравоохранения независимо от форм собственности и ведомственной принадлежности.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настоящих Правилах используются следующие основные понятия:</w:t>
      </w:r>
    </w:p>
    <w:bookmarkEnd w:id="12"/>
    <w:bookmarkStart w:name="z229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внутрибольничные комиссии – комиссии, создаваемые в организациях здравоохранения (комиссии инфекционного контроля, комиссии по исследованию летальных исходов);</w:t>
      </w:r>
    </w:p>
    <w:bookmarkEnd w:id="13"/>
    <w:bookmarkStart w:name="z23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фонд социального медицинского страхования (далее – Фонд) – некоммерческая организация, производящая аккумулирование отчислений и взносов, а также осуществляющая закуп и оплату услуг субъектов здравоохранения, оказывающих медицинскую помощь в объемах и на условиях, которые предусмотрены договором закупа медицинских услуг, и иные функции, определенные законами Республики Казахстан;</w:t>
      </w:r>
    </w:p>
    <w:bookmarkEnd w:id="14"/>
    <w:bookmarkStart w:name="z23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профильный специалист – медицинский работник с высшим медицинским образованием, имеющий сертификат в области здравоохранения;</w:t>
      </w:r>
    </w:p>
    <w:bookmarkEnd w:id="15"/>
    <w:bookmarkStart w:name="z23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стандарт в области здравоохранения (далее – Стандарт) – нормативный правовой акт, устанавливающий правила, общие принципы и характеристики для обеспечения стандартизации в области здравоохранения в сфере медицинской, фармацевтической деятельности, образовательной и научной деятельности в области здравоохранения, цифрового здравоохранения;</w:t>
      </w:r>
    </w:p>
    <w:bookmarkEnd w:id="16"/>
    <w:bookmarkStart w:name="z23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уполномоченный орган в области здравоохранения (далее – уполномоченный орган) – центральный исполнительный орган, осуществляющий руководство и межотраслевую координацию в области охраны здоровья граждан Республики Казахстан, медицинской и фармацевтической науки, медицинского и фармацевтического образования, санитарно-эпидемиологического благополучия населения, обращения лекарственных средств и медицинских изделий, качества оказания медицинских услуг (помощи);</w:t>
      </w:r>
    </w:p>
    <w:bookmarkEnd w:id="17"/>
    <w:bookmarkStart w:name="z23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пролеченный случай – комплекс медицинских услуг, оказанных пациенту в стационарных и (или) стационарозамещающих условиях с момента поступления до выписки;</w:t>
      </w:r>
    </w:p>
    <w:bookmarkEnd w:id="18"/>
    <w:bookmarkStart w:name="z23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клинический аудит - подробный ретроспективный и/или текущий анализ проведенных лечебно–диагностических мероприятий на предмет их соответствия стандартам в области здравоохранения;</w:t>
      </w:r>
    </w:p>
    <w:bookmarkEnd w:id="19"/>
    <w:bookmarkStart w:name="z23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клинический протокол – научно доказанные рекомендации по профилактике, диагностике, лечению, медицинской реабилитации и паллиативной медицинской помощи при определенном заболевании или состоянии пациента;</w:t>
      </w:r>
    </w:p>
    <w:bookmarkEnd w:id="20"/>
    <w:bookmarkStart w:name="z23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независимая экспертиза качества медицинских услуг (помощи) – процедура, проводимая независимыми экспертами в рамках внутренней и внешней экспертизы в целях вынесения заключения о качестве оказываемых медицинских услуг (помощи), предоставляемых субъектами здравоохранения, с использованием индикаторов, отражающих показатель эффективности, полноты и соответствия оказываемых медицинских услуг (помощи) Стандартам;</w:t>
      </w:r>
    </w:p>
    <w:bookmarkEnd w:id="21"/>
    <w:bookmarkStart w:name="z23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медицинские услуги – действия субъектов здравоохранения, имеющие профилактическую, диагностическую, лечебную, реабилитационную и паллиативную направленность по отношению к конкретному человеку;</w:t>
      </w:r>
    </w:p>
    <w:bookmarkEnd w:id="22"/>
    <w:bookmarkStart w:name="z23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медицинская помощь – комплекс медицинских услуг, направленных на сохранение и восстановление здоровья населения, включая лекарственное обеспечение;</w:t>
      </w:r>
    </w:p>
    <w:bookmarkEnd w:id="23"/>
    <w:bookmarkStart w:name="z24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12) экспертиза качества медицинских услуг (помощи) – совокупность организационных, аналитических и практических мероприятий, осуществляемых для вынесения заключения по качеству медицинских услуг, предоставляемых физическими и юридическими лицами, с использованием внешних и внутренних индикаторов, отражающих показатель эффективности, полноты и соответствия медицинских услуг Стандартам;</w:t>
      </w:r>
    </w:p>
    <w:bookmarkEnd w:id="24"/>
    <w:bookmarkStart w:name="z241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государственный орган в сфере оказания медицинских услуг (помощи) (далее – государственный орган) – государственный орган, осуществляющий руководство в сфере оказания медицинских услуг (помощи), контроль за качеством медицинских услуг (помощи);</w:t>
      </w:r>
    </w:p>
    <w:bookmarkEnd w:id="25"/>
    <w:bookmarkStart w:name="z24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14) дефект оказания медицинских услуг (далее – дефект) – нарушение порядка оказания медицинских услуг (помощи), выражающееся в несоблюдении Стандартов и необоснованном отклонении от клинических протоколов, а также факт неподтвержденного случая оказания медицинской услуги и (или) помощи;</w:t>
      </w:r>
    </w:p>
    <w:bookmarkEnd w:id="26"/>
    <w:bookmarkStart w:name="z24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15) полипрагмазия – необоснованное, излишнее назначение лекарственных средств;</w:t>
      </w:r>
    </w:p>
    <w:bookmarkEnd w:id="27"/>
    <w:bookmarkStart w:name="z24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16) ретроспективный анализ – анализ на основе изучения медицинской документации пациентов, получивших медицинскую помощь на момент проведения экспертизы;</w:t>
      </w:r>
    </w:p>
    <w:bookmarkEnd w:id="28"/>
    <w:bookmarkStart w:name="z24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17) внешние индикаторы – показатели, применяемые при внешней экспертизе, которые характеризуют эффективность, полноту и соответствие медицинской деятельности субъекта здравоохранения стандартам в области здравоохранения в целях проведения анализа и оценки качества медицинской деятельности;</w:t>
      </w:r>
    </w:p>
    <w:bookmarkEnd w:id="29"/>
    <w:bookmarkStart w:name="z246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18) независимый эксперт – физическое лицо, соответствующее требованиям, определяемым уполномоченным органом, и состоящее в реестре независимых экспертов);</w:t>
      </w:r>
    </w:p>
    <w:bookmarkEnd w:id="30"/>
    <w:bookmarkStart w:name="z247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19) внутренние индикаторы – показатели, применяемые при внутренней экспертизе в целях проведения анализа и оценки качества медицинской деятельности, которые характеризуют эффективность, полноту медицинской деятельности каждого структурного подразделения организации здравоохранения.</w:t>
      </w:r>
    </w:p>
    <w:bookmarkEnd w:id="3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9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Этапами внутренней и внешней экспертизы качества медицинских услуг (помощи) являются:</w:t>
      </w:r>
    </w:p>
    <w:bookmarkEnd w:id="32"/>
    <w:bookmarkStart w:name="z30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анализ учетной и отчетной документации;</w:t>
      </w:r>
    </w:p>
    <w:bookmarkEnd w:id="33"/>
    <w:bookmarkStart w:name="z31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клинического аудита;</w:t>
      </w:r>
    </w:p>
    <w:bookmarkEnd w:id="34"/>
    <w:bookmarkStart w:name="z32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обобщение результатов экспертизы качества медицинских услуг (помощи).</w:t>
      </w:r>
    </w:p>
    <w:bookmarkEnd w:id="35"/>
    <w:bookmarkStart w:name="z33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анализе учетной и отчетной документации сравниваются показатели деятельности организации за определенный период работы с показателями за предыдущий аналогичный период, а также с республиканскими и областными показателями состояния здоровья населения.</w:t>
      </w:r>
    </w:p>
    <w:bookmarkEnd w:id="36"/>
    <w:bookmarkStart w:name="z34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При проведении клинического аудита оцениваются:</w:t>
      </w:r>
    </w:p>
    <w:bookmarkEnd w:id="37"/>
    <w:bookmarkStart w:name="z35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качество сбора анамнеза, которое оценивается по следующим критериям:</w:t>
      </w:r>
    </w:p>
    <w:bookmarkEnd w:id="38"/>
    <w:bookmarkStart w:name="z36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сбора анамнеза;</w:t>
      </w:r>
    </w:p>
    <w:bookmarkEnd w:id="39"/>
    <w:bookmarkStart w:name="z37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полнота сбора анамнеза;</w:t>
      </w:r>
    </w:p>
    <w:bookmarkEnd w:id="40"/>
    <w:bookmarkStart w:name="z38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наличие данных о перенесенных, хронических и наследственных заболеваниях, проведенных гемотрансфузиях, переносимости лекарственных препаратов, аллергологический статус;</w:t>
      </w:r>
    </w:p>
    <w:bookmarkEnd w:id="41"/>
    <w:bookmarkStart w:name="z39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развитие осложнений вследствие допущенных тактических ошибок при проведении лечебно-диагностических мероприятий из-за некачественного сбора анамнеза;</w:t>
      </w:r>
    </w:p>
    <w:bookmarkEnd w:id="42"/>
    <w:bookmarkStart w:name="z40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полнота и обоснованность проведения диагностических исследований, которые оцениваются по следующим критериям:</w:t>
      </w:r>
    </w:p>
    <w:bookmarkEnd w:id="43"/>
    <w:bookmarkStart w:name="z41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диагностических мероприятий;</w:t>
      </w:r>
    </w:p>
    <w:bookmarkEnd w:id="44"/>
    <w:bookmarkStart w:name="z42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неправильное заключение или отсутствие заключения по результатам проведенных диагностических исследований, приведшие к неправильной постановке диагноза и ошибкам в тактике лечения;</w:t>
      </w:r>
    </w:p>
    <w:bookmarkEnd w:id="45"/>
    <w:bookmarkStart w:name="z43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диагностических исследований, предусмотренных клиническими протоколами;</w:t>
      </w:r>
    </w:p>
    <w:bookmarkEnd w:id="46"/>
    <w:bookmarkStart w:name="z44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диагностических исследований с высоким, неоправданным риском для состояния здоровья пациента, обоснованность проведения диагностических исследований, не вошедших в клинические протокола;</w:t>
      </w:r>
    </w:p>
    <w:bookmarkEnd w:id="47"/>
    <w:bookmarkStart w:name="z45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проведение диагностических исследований, неинформативных для постановки правильного диагноза и приведших к необоснованному увеличению сроков лечения и удорожанию стоимости лечения;</w:t>
      </w:r>
    </w:p>
    <w:bookmarkEnd w:id="48"/>
    <w:bookmarkStart w:name="z46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правильность, своевременность и обоснованность выставленного клинического диагноза с учетом результатов проведенных исследований (при плановой госпитализации учитываются исследования, проведенные и на догоспитальном этапе), которые оцениваются по следующим критериям:</w:t>
      </w:r>
    </w:p>
    <w:bookmarkEnd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диагноз отсутствует, неполный или неправильный, не соответствует международной классификации болезней;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выделен ведущий патологический синдром, определяющий тяжесть течения заболевания, не распознаны сопутствующие заболевания и осложнения;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диагноз правильный, но неполный, не выделен ведущий патологический синдром при выделенных осложнениях, не распознаны сопутствующие заболевания, влияющие на исход;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диагноз основного заболевания правильный, но не диагностированы сопутствующие заболевания, влияющие на результат лечения.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Объективные причины неправильной и (или) несвоевременной диагностики (атипичное течение основного заболевания, бессимптомное течение сопутствующего заболевания, редко встречающиеся осложнения и сопутствующие заболевания, отсутствие условий, необходимых для диагностики – оборудование и (или)специалисты) отражаются в результатах экспертизы. Проводится оценка влияния неправильной и (или) несвоевременной постановки диагноза на последующие этапы оказания медицинских услуг (помощи);</w:t>
      </w:r>
    </w:p>
    <w:bookmarkStart w:name="z52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своевременность и качество консультаций профильных специалистов, которые оцениваются по следующим критериям:</w:t>
      </w:r>
    </w:p>
    <w:bookmarkEnd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консультации, приведшее к ошибочной трактовке симптомов и синдромов, отрицательно повлиявших на исход заболевания;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консультация своевременная, непринятие во внимание мнения консультанта при постановке диагноза частично повлияло на исход заболевания;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консультация своевременная, мнение консультанта учтено при постановке диагноза, невыполнение рекомендации консультанта по лечению частично повлияло на исход заболевания;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мнение консультанта ошибочное и повлияло на исход заболевания.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проведения консультаций с опозданием, проводится оценка объективности причин несвоевременной консультации (отсутствие необходимых условий, специалистов), влияния несвоевременной постановки диагноза на последующие этапы оказания медицинских услуг (помощи);</w:t>
      </w:r>
    </w:p>
    <w:bookmarkStart w:name="z58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объем, качество и обоснованность проведения лечебных мероприятий, которые оцениваются по следующим критериям:</w:t>
      </w:r>
    </w:p>
    <w:bookmarkEnd w:id="51"/>
    <w:bookmarkStart w:name="z59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лечения при наличии показаний;</w:t>
      </w:r>
    </w:p>
    <w:bookmarkEnd w:id="52"/>
    <w:bookmarkStart w:name="z60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назначение лечения при отсутствии показаний;</w:t>
      </w:r>
    </w:p>
    <w:bookmarkEnd w:id="53"/>
    <w:bookmarkStart w:name="z61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назначение малоэффективных лечебных мероприятий без учета особенностей течения заболевания, сопутствующих заболеваний и осложнений;</w:t>
      </w:r>
    </w:p>
    <w:bookmarkEnd w:id="54"/>
    <w:bookmarkStart w:name="z62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выполнение лечебных мероприятий не в полном объеме, без учета функционального состояния органов и систем, назначения лекарственных средств без доказанной клинической эффективности;</w:t>
      </w:r>
    </w:p>
    <w:bookmarkEnd w:id="55"/>
    <w:bookmarkStart w:name="z63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несоблюдение требований Стандартов, необоснованное отклонение от требований клинических протоколов, наличие полипрагмазии, приведшее к развитию нового патологического синдрома и ухудшению состояния пациента;</w:t>
      </w:r>
    </w:p>
    <w:bookmarkEnd w:id="56"/>
    <w:bookmarkStart w:name="z64" w:id="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отсутствие или развитие осложнений после медицинских вмешательств, оцениваются все возникшие осложнения, в том числе обусловленные оперативными вмешательствами (запоздалое оперативное вмешательство, неадекватный объем и метод, технические дефекты) и диагностическими процедурами;</w:t>
      </w:r>
    </w:p>
    <w:bookmarkEnd w:id="57"/>
    <w:bookmarkStart w:name="z65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достигнутый результат, который оценивается по следующим критериям:</w:t>
      </w:r>
    </w:p>
    <w:bookmarkEnd w:id="58"/>
    <w:bookmarkStart w:name="z66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достижение ожидаемого клинического эффекта при соблюдении технологии оказания медицинских услуг (помощи);</w:t>
      </w:r>
    </w:p>
    <w:bookmarkEnd w:id="59"/>
    <w:bookmarkStart w:name="z67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клинического эффекта лечебных и профилактических мероприятий вследствие некачественного сбора анамнеза и проведения диагностических исследований;</w:t>
      </w:r>
    </w:p>
    <w:bookmarkEnd w:id="60"/>
    <w:bookmarkStart w:name="z68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отсутствие ожидаемого клинического эффекта вследствие проведения малоэффективных лечебных, профилактических мероприятий без учета особенностей течения заболевания, сопутствующих заболеваний, осложнений, назначение лекарственных средств без доказанной клинической эффективности;</w:t>
      </w:r>
    </w:p>
    <w:bookmarkEnd w:id="61"/>
    <w:bookmarkStart w:name="z69" w:id="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наличие полипрагмазии, обусловившее развитие нежелательных последствий;</w:t>
      </w:r>
    </w:p>
    <w:bookmarkEnd w:id="62"/>
    <w:bookmarkStart w:name="z70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качество ведения медицинской документации, которое оценивается по наличию, полноте и качеству записей в первичной медицинской документации, предназначенной для записи данных о состоянии здоровья пациентов, отражающих характер, объем и качество оказанной медицинской помощи,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10 декабря 2020 года № ҚР ДСМ-244/2020 "Об утверждении правил ведения первичной медицинской документации и представление отчетов" (зарегистрирован в Реестре государственной регистрации нормативных правовых актов под № 21761).</w:t>
      </w:r>
    </w:p>
    <w:bookmarkEnd w:id="63"/>
    <w:bookmarkStart w:name="z71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 уровне амбулаторно-поликлинической помощи дополнительно оцениваются диспансерные наблюдения, профилактические, реабилитационные мероприятия и скрининговые исследования.</w:t>
      </w:r>
    </w:p>
    <w:bookmarkEnd w:id="6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5 с изменениями, внесенными приказом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72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При обобщении результатов экспертизы качества медицинских услуг (помощи) выносится решение о соответствии (несоответствии) оказанной медицинской помощи требованиям Стандартов и клинических протоколов.</w:t>
      </w:r>
    </w:p>
    <w:bookmarkEnd w:id="65"/>
    <w:bookmarkStart w:name="z73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Экспертиза качества медицинских услуг (помощи) осуществляется при необходимости с участием пациента.</w:t>
      </w:r>
    </w:p>
    <w:bookmarkEnd w:id="66"/>
    <w:bookmarkStart w:name="z74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По летальным случаям завершенной и полной экспертизой считается сопоставление результатов ретроспективного анализа, патологоанатомического вскрытия и (или) судебно-медицинской экспертизы.</w:t>
      </w:r>
    </w:p>
    <w:bookmarkEnd w:id="67"/>
    <w:bookmarkStart w:name="z75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качестве источника информации при проведении экспертизы используются медицинская документация и электронные информационные ресурсы в области здравоохранения.</w:t>
      </w:r>
    </w:p>
    <w:bookmarkEnd w:id="68"/>
    <w:bookmarkStart w:name="z76" w:id="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организации и проведения внутренней экспертизы качества медицинских услуг (помощи)</w:t>
      </w:r>
    </w:p>
    <w:bookmarkEnd w:id="69"/>
    <w:bookmarkStart w:name="z77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Для организации и проведения внутренней экспертизы в медицинской организации создается служба поддержки пациента и внутренней экспертизы (далее – Служба).</w:t>
      </w:r>
    </w:p>
    <w:bookmarkEnd w:id="70"/>
    <w:bookmarkStart w:name="z78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Структура и состав Службы утверждаются руководителем медицинской организации с учетом объема оказываемых медицинских услуг, профиля, мощности (количества коек) для организаций, оказывающих стационарную помощь, количества прикрепленного населения для организаций, оказывающих амбулаторно-поликлиническую помощь.</w:t>
      </w:r>
    </w:p>
    <w:bookmarkEnd w:id="71"/>
    <w:bookmarkStart w:name="z79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Службой проводится экспертиза:</w:t>
      </w:r>
    </w:p>
    <w:bookmarkEnd w:id="72"/>
    <w:bookmarkStart w:name="z80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 организациях, оказывающих стационарную или стационарозамещающую помощь, не менее 15 % пролеченных случаев в месяц, а также все случаи:</w:t>
      </w:r>
    </w:p>
    <w:bookmarkEnd w:id="73"/>
    <w:bookmarkStart w:name="z81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летальных исходов;</w:t>
      </w:r>
    </w:p>
    <w:bookmarkEnd w:id="74"/>
    <w:bookmarkStart w:name="z82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осложнений, в том числе послеоперационных;</w:t>
      </w:r>
    </w:p>
    <w:bookmarkEnd w:id="7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внутрибольничных инфекций;</w:t>
      </w:r>
    </w:p>
    <w:bookmarkStart w:name="z84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повторной госпитализации по одному и тому же заболеванию в течение одного месяца вследствие некачественного предыдущего лечения;</w:t>
      </w:r>
    </w:p>
    <w:bookmarkEnd w:id="76"/>
    <w:bookmarkStart w:name="z85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увеличения или уменьшения сроков лечения;</w:t>
      </w:r>
    </w:p>
    <w:bookmarkEnd w:id="77"/>
    <w:bookmarkStart w:name="z86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расхождений диагнозов;</w:t>
      </w:r>
    </w:p>
    <w:bookmarkEnd w:id="78"/>
    <w:bookmarkStart w:name="z87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необоснованной госпитализации;</w:t>
      </w:r>
    </w:p>
    <w:bookmarkEnd w:id="79"/>
    <w:bookmarkStart w:name="z88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в организациях, оказывающих амбулаторно-поликлиническую помощь:</w:t>
      </w:r>
    </w:p>
    <w:bookmarkEnd w:id="80"/>
    <w:bookmarkStart w:name="z89" w:id="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 менее 10 % экспертиз за месяц:</w:t>
      </w:r>
    </w:p>
    <w:bookmarkEnd w:id="81"/>
    <w:bookmarkStart w:name="z90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пролеченных случаев, амбулаторных карт лиц, подлежащих иммунизации против инфекционных заболеваний; </w:t>
      </w:r>
    </w:p>
    <w:bookmarkEnd w:id="82"/>
    <w:bookmarkStart w:name="z91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а также все случаи:</w:t>
      </w:r>
    </w:p>
    <w:bookmarkEnd w:id="83"/>
    <w:bookmarkStart w:name="z92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материнской смертности;</w:t>
      </w:r>
    </w:p>
    <w:bookmarkEnd w:id="84"/>
    <w:bookmarkStart w:name="z93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смерти на дому детей от 0 до 5 лет включительно;</w:t>
      </w:r>
    </w:p>
    <w:bookmarkEnd w:id="85"/>
    <w:bookmarkStart w:name="z94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смерти на дому лиц трудоспособного возраста от заболеваний;</w:t>
      </w:r>
    </w:p>
    <w:bookmarkEnd w:id="86"/>
    <w:bookmarkStart w:name="z95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внутрибольничных инфекций;</w:t>
      </w:r>
    </w:p>
    <w:bookmarkEnd w:id="87"/>
    <w:bookmarkStart w:name="z96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несвоевременной вакцинации или отсутствия вакцинации против инфекционных заболеваний;</w:t>
      </w:r>
    </w:p>
    <w:bookmarkEnd w:id="88"/>
    <w:bookmarkStart w:name="z97" w:id="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запущенных форм онкологических заболеваний и туберкулеза;</w:t>
      </w:r>
    </w:p>
    <w:bookmarkEnd w:id="89"/>
    <w:bookmarkStart w:name="z98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первичного выхода на инвалидность лиц трудоспособного возраста;</w:t>
      </w:r>
    </w:p>
    <w:bookmarkEnd w:id="90"/>
    <w:bookmarkStart w:name="z99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осложнений беременности, управляемых на уровне организаций, оказывающих первичную медико-санитарную помощь;</w:t>
      </w:r>
    </w:p>
    <w:bookmarkEnd w:id="91"/>
    <w:bookmarkStart w:name="z100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наблюдений за пациентами после выписки из стационара (за детьми, за женщинами в послеродовом периоде), за пациентами с болезнями системы кровообращения (после инсультов и инфарктов);</w:t>
      </w:r>
    </w:p>
    <w:bookmarkEnd w:id="92"/>
    <w:bookmarkStart w:name="z101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организациях скорой медицинской помощи экспертиза качества медицинских услуг (помощи) не менее 10 % обслуженных вызовов за квартал, в том числе все случаи:</w:t>
      </w:r>
    </w:p>
    <w:bookmarkEnd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выезда к пациенту после отказа в госпитализации медицинской организацией, оказывающей стационарную помощь;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отказа от медицинской помощи с указанием возможных последствий, оформленных записью в медицинских документах, в том числе в электронной форме, подписанной пациентом либо его законным представителем, а также медицинским работником;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отказа от подписания пациентом либо его законным представителем отказа от медицинской помощи, с соответствующей записью об этом в медицинской документации, в том числе в электронной форме, подписанной медицинским работником;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повторных вызовов к одному и тому же пациенту по тому же заболеванию в течение суток с момента первого вызова, за исключением случаев: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летальности при вызовах: смерть до прибытия бригады, смерть в присутствии бригады;</w:t>
      </w:r>
    </w:p>
    <w:bookmarkStart w:name="z105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 организациях восстановительного лечения и медицинской реабилитации – все случаи:</w:t>
      </w:r>
    </w:p>
    <w:bookmarkEnd w:id="94"/>
    <w:bookmarkStart w:name="z106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летальных исходов;</w:t>
      </w:r>
    </w:p>
    <w:bookmarkEnd w:id="95"/>
    <w:bookmarkStart w:name="z107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перевода в больничные организации;</w:t>
      </w:r>
    </w:p>
    <w:bookmarkEnd w:id="96"/>
    <w:bookmarkStart w:name="z108" w:id="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увеличения или уменьшения сроков лечения;</w:t>
      </w:r>
    </w:p>
    <w:bookmarkEnd w:id="97"/>
    <w:bookmarkStart w:name="z109" w:id="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больничного травматизма;</w:t>
      </w:r>
    </w:p>
    <w:bookmarkEnd w:id="98"/>
    <w:bookmarkStart w:name="z110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внутрибольничных инфекций;</w:t>
      </w:r>
    </w:p>
    <w:bookmarkEnd w:id="99"/>
    <w:bookmarkStart w:name="z111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в организациях по оказанию паллиативной помощи и сестринского ухода – все случаи:</w:t>
      </w:r>
    </w:p>
    <w:bookmarkEnd w:id="100"/>
    <w:bookmarkStart w:name="z112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летальных исходов;</w:t>
      </w:r>
    </w:p>
    <w:bookmarkEnd w:id="101"/>
    <w:bookmarkStart w:name="z113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внутрибольничных инфекций;</w:t>
      </w:r>
    </w:p>
    <w:bookmarkEnd w:id="102"/>
    <w:bookmarkStart w:name="z114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больничного травматизма;</w:t>
      </w:r>
    </w:p>
    <w:bookmarkEnd w:id="103"/>
    <w:bookmarkStart w:name="z115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6) в организациях, осуществляющих деятельность в сфере службы крови, проводится экспертиза качества медицинских услуг (помощи) не менее 20 % медицинских карт доноров в квартал, а также проводится контроль соблюдения правил заготовки, переработки, контроля качества, хранения, реализации крови, ее компонентов, а также правила переливания крови, ее компонентов согласно </w:t>
      </w:r>
      <w:r>
        <w:rPr>
          <w:rFonts w:ascii="Times New Roman"/>
          <w:b w:val="false"/>
          <w:i w:val="false"/>
          <w:color w:val="000000"/>
          <w:sz w:val="28"/>
        </w:rPr>
        <w:t>подпункту 84)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7 Кодекса.</w:t>
      </w:r>
    </w:p>
    <w:bookmarkEnd w:id="10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10 с изменением, внесенным приказом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16" w:id="10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Службой ежемесячно также проводится экспертиза не менее 10 % пролеченных случаев на качество заполнения медицинской документации средними медицинскими работниками.</w:t>
      </w:r>
    </w:p>
    <w:bookmarkEnd w:id="105"/>
    <w:bookmarkStart w:name="z117" w:id="1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Службой с медицинскими работниками, допустившими нарушения порядка оказания медицинской помощи, лечебно-диагностических мероприятий, выражающееся в необоснованном отклонении от Стандартов и клинических протоколов (далее - дефекты), проводится уточнение причин их возникновения, разъяснения требований Стандартов, и совместная разработка рекомендаций по недопущению дефектов и ошибок.</w:t>
      </w:r>
    </w:p>
    <w:bookmarkEnd w:id="106"/>
    <w:bookmarkStart w:name="z118" w:id="1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Случаи допущенных дефектов, требующих принятия управленческих решений (направление на дополнительное обучение, курсы повышения квалификации медицинских работников, приобретение лекарственных препаратов, изделий медицинского назначения, медицинской техники) выносятся на рассмотрение руководства.</w:t>
      </w:r>
    </w:p>
    <w:bookmarkEnd w:id="107"/>
    <w:bookmarkStart w:name="z119" w:id="1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13. Службой на основании оценки внутренних индикаторов,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 оценивается деятельность структурных подразделений и в целом медицинской организации. Руководители структурных подразделений медицинской организации представляют Службе ежемесячно по утвержденному руководителем медицинской организации графику результаты мониторинга по индикаторам оценки качества медицинских услуг (помощи).</w:t>
      </w:r>
    </w:p>
    <w:bookmarkEnd w:id="108"/>
    <w:bookmarkStart w:name="z120" w:id="10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Служба определяет степень удовлетворенности пациентов уровнем и качеством медицинских услуг (помощи) и определяет потребности населения и пациентов путем:</w:t>
      </w:r>
    </w:p>
    <w:bookmarkEnd w:id="109"/>
    <w:bookmarkStart w:name="z249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применения инструмента общественного диалога открытости в целях оперативного реагирования медицинских организаций и государственных органов на нужды населения и пациентов;</w:t>
      </w:r>
    </w:p>
    <w:bookmarkEnd w:id="110"/>
    <w:bookmarkStart w:name="z250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применения фокус группового интервьюирования населения, пациентов и специалистов организаций здравоохранения;</w:t>
      </w:r>
    </w:p>
    <w:bookmarkEnd w:id="111"/>
    <w:bookmarkStart w:name="z251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анкетирования пациентов и (или) их родственников, медицинского и немедицинского персонала организации здравоохранения;</w:t>
      </w:r>
    </w:p>
    <w:bookmarkEnd w:id="112"/>
    <w:bookmarkStart w:name="z252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анализа обоснованных обращений на качество оказанных медицинских услуг (помощи);</w:t>
      </w:r>
    </w:p>
    <w:bookmarkEnd w:id="113"/>
    <w:bookmarkStart w:name="z253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анализа медицинских инцидентов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22 октября 2020 года № ҚР ДСМ-147/2020 "Об утверждении правил определения случаев (событий) медицинского инцидента, их учета и анализа" (зарегистрирован в Реестре государственной регистрации нормативных правовых актов под № 21511).</w:t>
      </w:r>
    </w:p>
    <w:bookmarkEnd w:id="11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14 -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254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14-1. Для выработки предложений и рекомендаций по актуальным вопросам здоровья и услуг здравоохранения прикрепленного населения, а также мониторинга за выполнением рекомендаций, при медицинской организации создается постоянно действующая комиссия общественного доверия здравоохранения (далее-комиссия ОДЗ), с участием представителей прикрепленного населения, субъектов частного предпринимательства и неправительственных организаций, сотрудников местных органов государственного управления здравоохранения области, городов республиканского значения и столицы.</w:t>
      </w:r>
    </w:p>
    <w:bookmarkEnd w:id="115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14-1 в соответствии с приказом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21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15. Служба рассматривает обращения пациентов по вопросам оказанной медицинской помощи, с созданием комиссии. При этом, обращение рассматривается в срок, не превышающий пяти календарных дней.</w:t>
      </w:r>
    </w:p>
    <w:bookmarkEnd w:id="116"/>
    <w:bookmarkStart w:name="z122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16. Внутренняя экспертиза качества медицинских услуг (помощи) осуществляется также путем самоконтроля на уровне:</w:t>
      </w:r>
    </w:p>
    <w:bookmarkEnd w:id="117"/>
    <w:bookmarkStart w:name="z123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каждого медицинского работника;</w:t>
      </w:r>
    </w:p>
    <w:bookmarkEnd w:id="118"/>
    <w:bookmarkStart w:name="z124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структурного подразделения;</w:t>
      </w:r>
    </w:p>
    <w:bookmarkEnd w:id="119"/>
    <w:bookmarkStart w:name="z125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главной медицинской сестры и (или) заместителя руководителя по сестринскому делу;</w:t>
      </w:r>
    </w:p>
    <w:bookmarkEnd w:id="120"/>
    <w:bookmarkStart w:name="z126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заместителя руководителя по медицинской части.</w:t>
      </w:r>
    </w:p>
    <w:bookmarkEnd w:id="121"/>
    <w:bookmarkStart w:name="z127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17. Экспертиза на уровне медицинского работника осуществляется врачом, каждой медицинской сестрой отделения по всем пролеченным случаям. Результатом проведенного самоконтроля является подпись медицинского работника в медицинской документации.</w:t>
      </w:r>
    </w:p>
    <w:bookmarkEnd w:id="122"/>
    <w:bookmarkStart w:name="z128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Экспертиза на уровне структурного подразделения проводится его руководителем по всем пролеченным случаям.</w:t>
      </w:r>
    </w:p>
    <w:bookmarkEnd w:id="123"/>
    <w:bookmarkStart w:name="z255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18-1. По результатам деятельности, комиссия ОДЗ ежеквартально направляет информацию в местные органы государственного управления здравоохранением областей, городов республиканского значения и столицы.</w:t>
      </w:r>
    </w:p>
    <w:bookmarkEnd w:id="12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Правила дополнены пунктом 18-1 в соответствии с приказом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29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19. Экспертиза работы средних медицинских работников на уровне структурного подразделения осуществляется старшей медицинской сестрой. Экспертиза качества работы средних медицинских работников структурных подразделений определяется полнотой и своевременностью заполнения медицинской документации, а также по полноте, своевременности и качества выполнения врачебных назначений;</w:t>
      </w:r>
    </w:p>
    <w:bookmarkEnd w:id="125"/>
    <w:bookmarkStart w:name="z130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Экспертиза на уровне главной медицинской сестры или заместителя руководителя по сестринскому делу медицинской организации проводится путем изучения и анализа не менее 10 % пролеченных случаев на качество заполнения медицинской документации средними медицинскими работниками.</w:t>
      </w:r>
    </w:p>
    <w:bookmarkEnd w:id="126"/>
    <w:bookmarkStart w:name="z131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Экспертиза на уровне заместителя руководителя по медицинской части проводится путем изучения и анализа не менее 15 % пролеченных случаев в месяц.</w:t>
      </w:r>
    </w:p>
    <w:bookmarkEnd w:id="127"/>
    <w:bookmarkStart w:name="z132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Службой по результатам внутренней экспертизы составляется заключение, которое включает:</w:t>
      </w:r>
    </w:p>
    <w:bookmarkEnd w:id="128"/>
    <w:bookmarkStart w:name="z133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общее количество выявленных нарушений, их структура, возможные причины и пути устранения;</w:t>
      </w:r>
    </w:p>
    <w:bookmarkEnd w:id="129"/>
    <w:bookmarkStart w:name="z134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количество выявленных нарушений, повлекших ухудшение состояния здоровья;</w:t>
      </w:r>
    </w:p>
    <w:bookmarkEnd w:id="130"/>
    <w:bookmarkStart w:name="z135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количество выявленных отклонений, приведших к увеличению затрат на оказание медицинской помощи.</w:t>
      </w:r>
    </w:p>
    <w:bookmarkEnd w:id="131"/>
    <w:bookmarkStart w:name="z136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23. Результаты внутренней экспертизы, в том числе их сопоставление с результатами внешней экспертизы, выносятся и разбираются на заседаниях Службы, внутрибольничных комиссий, на врачебных конференциях с последующим принятием организационных решений, с целью повышения уровня знаний медицинских работников и выработки оптимальных подходов к лечебно-диагностическому процессу, которые оформляются протоколом.</w:t>
      </w:r>
    </w:p>
    <w:bookmarkEnd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состав внутрибольничных комиссий включаются заведующие структурных подразделений (профильных отделений), врачи с опытом практической работы не менее 3 лет непрерывного стажа по специальности.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 результатам внутренней экспертизы руководителю медицинской организации ежемесячно Службой вносятся предложения по устранению выявленных причин и условий снижения качества оказываемых медицинских услуг (помощи).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23 -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38" w:id="13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организации и проведения внешней экспертизы качества медицинских услуг (помощи)</w:t>
      </w:r>
    </w:p>
    <w:bookmarkEnd w:id="133"/>
    <w:bookmarkStart w:name="z139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Внешняя экспертиза качества медицинских услуг (помощи) осуществляется:</w:t>
      </w:r>
    </w:p>
    <w:bookmarkEnd w:id="134"/>
    <w:bookmarkStart w:name="z140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государственным органом;</w:t>
      </w:r>
    </w:p>
    <w:bookmarkEnd w:id="135"/>
    <w:bookmarkStart w:name="z141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фондом;</w:t>
      </w:r>
    </w:p>
    <w:bookmarkEnd w:id="136"/>
    <w:bookmarkStart w:name="z142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независимыми экспертами в области здравоохранения;</w:t>
      </w:r>
    </w:p>
    <w:bookmarkEnd w:id="137"/>
    <w:bookmarkStart w:name="z143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ведомством Управления делами Президента Республики Казахстан в отношении подведомственных организаций.</w:t>
      </w:r>
    </w:p>
    <w:bookmarkEnd w:id="138"/>
    <w:bookmarkStart w:name="z144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По итогам внешней экспертизы анализируются:</w:t>
      </w:r>
    </w:p>
    <w:bookmarkEnd w:id="139"/>
    <w:bookmarkStart w:name="z145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результат внутренней экспертизы на предмет соблюдения принципов экспертизы;</w:t>
      </w:r>
    </w:p>
    <w:bookmarkEnd w:id="140"/>
    <w:bookmarkStart w:name="z146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соответствие и эффективности мер, принятых Службой;</w:t>
      </w:r>
    </w:p>
    <w:bookmarkEnd w:id="141"/>
    <w:bookmarkStart w:name="z147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соответствие пороговых значений в динамике внешних индикаторов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Правилам;</w:t>
      </w:r>
    </w:p>
    <w:bookmarkEnd w:id="142"/>
    <w:bookmarkStart w:name="z148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качество оказанных медицинских услуг (помощи).</w:t>
      </w:r>
    </w:p>
    <w:bookmarkEnd w:id="143"/>
    <w:bookmarkStart w:name="z149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26. Государственным органом внешняя экспертиза проводится в том числе с привлечением независимых экспертов.</w:t>
      </w:r>
    </w:p>
    <w:bookmarkEnd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Привлечение независимых экспертов осуществляется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16 сентября 2020 года № ҚР ДСМ-103/2020 "Об утверждении Правил привлечения независимых экспертов при проведении экспертизы качества медицинских услуг (помощи)" (зарегистрирован в Реестре государственной регистрации нормативных правовых актов под № 21218).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случаях отсутствия условий для привлечения независимых экспертов, наличия конфликта интересов независимого эксперта у организаций здравоохранения, имеющих право предоставлять независимых экспертов, а также в промежуток времени от завершения гражданско-правовых (договорных) отношений между организациями здравоохранения, имеющими право предоставлять независимых экспертов и государственным органом и до завершения конкурсных процедур, согласно номенклатуры специальностей и специализаций в области здравоохранения, утвержденных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21 декабря 2020 года № ҚР ДСМ-305/2020 "Об утверждении номенклатуры специальностей и специализаций в области здравоохранения, номенклатуры и квалификационных характеристик должностей работников здравоохранения" (зарегистрирован в Реестре государственной регистрации нормативных правовых актов под № 21856), для оценки качества медицинской помощи решением государственного органа или его территориальных подразделений привлекаются профильные специалисты в области здравоохранения.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Профильные специалисты в области здравоохранения по итогам оценки качества медицинской помощи предоставляют в рамках своей компетенции заключение с выводами по качеству оказания медицинских услуг (помощи) со ссылкой на нормативные правовые акты для формирования выводов и внесения в заключение внешней экспертизы, проводимой государственным органом.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26 -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50" w:id="1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27. Внешнюю экспертизу всех случаев материнской смертности (за исключением несчастных случаев) проводит государственный орган.</w:t>
      </w:r>
    </w:p>
    <w:bookmarkEnd w:id="145"/>
    <w:bookmarkStart w:name="z151" w:id="1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28. В случае выявления дефектов по результатам внешней экспертизы, не позднее 10 календарных дней после полного завершения рассмотрения обращений физических и юридических лиц, а также донесений по случаям материнской смертности и иных обращений, государственный орган направляет в Фонд, правоохранительные органы и местным органам государственного управления здравоохранением областей, городов республиканского значения и столицы информацию для принятия мер реагирования по компетенции.</w:t>
      </w:r>
    </w:p>
    <w:bookmarkEnd w:id="14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28 -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52" w:id="1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29. В случае выявления дефектов приведшие к вреду здоровья в виде инвалидизации, в том числе с утратой трудоспособности либо летальному исходу государственный орган направляет материалы внешней экспертизы в органы внутренних дел для принятия процессуального решения в соответствии со </w:t>
      </w:r>
      <w:r>
        <w:rPr>
          <w:rFonts w:ascii="Times New Roman"/>
          <w:b w:val="false"/>
          <w:i w:val="false"/>
          <w:color w:val="000000"/>
          <w:sz w:val="28"/>
        </w:rPr>
        <w:t>статьей 179</w:t>
      </w:r>
      <w:r>
        <w:rPr>
          <w:rFonts w:ascii="Times New Roman"/>
          <w:b w:val="false"/>
          <w:i w:val="false"/>
          <w:color w:val="000000"/>
          <w:sz w:val="28"/>
        </w:rPr>
        <w:t xml:space="preserve"> Уголовно-процессуального кодекса Республики Казахстан.</w:t>
      </w:r>
    </w:p>
    <w:bookmarkEnd w:id="147"/>
    <w:bookmarkStart w:name="z153" w:id="1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По результатам внешней экспертизы качества медицинских услуг (помощи), проведенных государственным органом и Фондом, государственный орган проводит анализ для выработки предложений по совершенствованию оказания медицинских услуг (помощи).</w:t>
      </w:r>
    </w:p>
    <w:bookmarkEnd w:id="148"/>
    <w:bookmarkStart w:name="z154" w:id="1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31. При проведении проверки субъектов здравоохранения специалист государственного органа предоставляет эксперту материалы, являющиеся предметом экспертизы. При необходимости им организуется встреча с заявителем (с согласия заявителя).</w:t>
      </w:r>
    </w:p>
    <w:bookmarkEnd w:id="149"/>
    <w:bookmarkStart w:name="z155" w:id="1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32. По окончании проведения экспертизы государственным органом составляется заключение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50"/>
    <w:bookmarkStart w:name="z156" w:id="1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33. Фондом внешняя экспертиза проводится в рамках мониторинга исполнения договорных обязательств по качеству и объему медицинских услуг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24 декабря 2020 года № ҚР ДСМ-321/2020 "Об утверждении Правил проведения мониторинга исполнения условий договора закупа медицинских услуг у субъектов здравоохранения в рамках гарантированного объема бесплатной медицинской помощи и (или) в системе обязательного социального медицинского страхования" (зарегистрирован в Реестре государственной регистрации нормативных правовых актов под № 21904).</w:t>
      </w:r>
    </w:p>
    <w:bookmarkEnd w:id="15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33 -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57" w:id="1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34. Фонд предоставляет независимому эксперту материалы, являющиеся предметом экспертизы.</w:t>
      </w:r>
    </w:p>
    <w:bookmarkEnd w:id="152"/>
    <w:bookmarkStart w:name="z158" w:id="1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35. По окончании проведения экспертизы Фондом составляется заключение и (или) акт по форме определяемом в соответствии с подпунктом 99) статьи 7 Кодекса.</w:t>
      </w:r>
    </w:p>
    <w:bookmarkEnd w:id="153"/>
    <w:bookmarkStart w:name="z159" w:id="1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Независимыми экспертами в области здравоохранения внешняя экспертиза проводится при привлечении их физическими или юридическими лицами на договорной основе.</w:t>
      </w:r>
    </w:p>
    <w:bookmarkEnd w:id="154"/>
    <w:bookmarkStart w:name="z160" w:id="1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Сведения о независимых экспертах содержатся в Реестре независимых экспертов формируемый государственным органом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18)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8 Кодекса. Реестр независимых экспертов размещается на сайте государственного органа.</w:t>
      </w:r>
    </w:p>
    <w:bookmarkEnd w:id="155"/>
    <w:bookmarkStart w:name="z161"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37. При осуществлении независимой экспертизы физические или юридические лица, привлекающие независимых экспертов на договорной основе (далее – Заказчик) предоставляют независимому эксперту материалы, являющиеся предметом экспертизы. </w:t>
      </w:r>
    </w:p>
    <w:bookmarkEnd w:id="1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Если поставленные вопросы выходят за пределы специальных знаний независимого эксперта либо представленные материалы недостаточны для дачи экспертного заключения, независимый эксперт отказывает в даче заключения.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Независимый эксперт проводит независимую экспертную оценку качества медицинской деятельности в соответствии с действующим законодательством в области здравоохранения и обеспечивает законность, компетентность и непредвзятость независимой экспертизы, а также научную обоснованность средств и методов проведения исследований для полноты и объективности независимой экспертизы.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Независимый эксперт не привлекается повторно по ранее проведенной им экспертизе, а также в случае некачественного оказания услуги по независимой экспертизе, подтвержденного документально, и не может привлекаться, если он состоит в каких-либо отношениях (трудовых, гражданско-правовых отношениях) с двумя и более аккредитованными субъектами здравоохранения, осуществляющими независимую экспертизу в области здравоохранения.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ходе проведения экспертизы независимый эксперт соблюдает конфиденциальность служебной информации, принципы профессиональной этики.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37 - в редакции приказа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65" w:id="15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38. Экспертиза, проводимая независимыми экспертами привлекаемыми государственным органом, делится на следующие категории:</w:t>
      </w:r>
    </w:p>
    <w:bookmarkEnd w:id="157"/>
    <w:bookmarkStart w:name="z166" w:id="1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экспертиза качества оказанных медицинских услуг (помощи) с неблагоприятным исходом:</w:t>
      </w:r>
    </w:p>
    <w:bookmarkEnd w:id="158"/>
    <w:bookmarkStart w:name="z167" w:id="1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патологоанатомических исследований;</w:t>
      </w:r>
    </w:p>
    <w:bookmarkEnd w:id="159"/>
    <w:bookmarkStart w:name="z168" w:id="1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медицинской документации не более двух организаций здравоохранения (согласно маршруту оказания медицинской помощи пациенту);</w:t>
      </w:r>
    </w:p>
    <w:bookmarkEnd w:id="160"/>
    <w:bookmarkStart w:name="z169" w:id="1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медицинской документации трех и более организаций здравоохранения (согласно маршруту оказания медицинской помощи пациенту);</w:t>
      </w:r>
    </w:p>
    <w:bookmarkEnd w:id="161"/>
    <w:bookmarkStart w:name="z170"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экспертиза качества оказанных медицинских услуг (помощи) с благоприятным исходом с осмотром пациента (при необходимости):</w:t>
      </w:r>
    </w:p>
    <w:bookmarkEnd w:id="16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патологоанатомических исследований;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медицинской документации не более двух организаций здравоохранения (согласно маршруту оказания медицинской помощи пациенту);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изучение медицинской документации трех и более организаций здравоохранения (согласно маршруту оказания медицинской помощи пациенту).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оказанным медицинским услугам (помощи) с неблагоприятным исходом относятся оказание медицинских услуг (помощи) при несоблюдении Стандартов и правил оказания медицинской помощи, которое повлекло наступление смерти, опасное для жизни состояние, значительную стойкую утрату общей трудоспособности, полную утрату профессиональной трудоспособности.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оказанным медицинским услугам (помощи) с благоприятным исходом относятся оказание медицинских услуг (помощи) с несоблюдением Стандартов и правил оказания медицинской помощи, которое не повлекло причинение вреда жизни и здоровью человека.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38 с изменениями, внесенными приказом Министра здравоохранения РК от 16.11.2021 </w:t>
      </w:r>
      <w:r>
        <w:rPr>
          <w:rFonts w:ascii="Times New Roman"/>
          <w:b w:val="false"/>
          <w:i w:val="false"/>
          <w:color w:val="000000"/>
          <w:sz w:val="28"/>
        </w:rPr>
        <w:t>№ ҚР ДСМ-115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76" w:id="1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39. По окончании проведения экспертизы независимый эксперт представляет экспертное заключение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3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Правилам.</w:t>
      </w:r>
    </w:p>
    <w:bookmarkEnd w:id="163"/>
    <w:bookmarkStart w:name="z177" w:id="1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Экспертное заключение независимого эксперта составляется в трех экземплярах. Один экземпляр вручается субъекту здравоохранения, второй экземпляр вручается Заказчику, третий экземпляр остается у независимого эксперта.</w:t>
      </w:r>
    </w:p>
    <w:bookmarkEnd w:id="164"/>
    <w:bookmarkStart w:name="z178" w:id="1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40. Замечания и (или) возражения по результатам внешней экспертизы излагаются в письменном виде и прилагаются к заключению внешней экспертизы. По результатам внешней экспертизы качества медицинских услуг (помощи) руководитель медицинской организации принимает управленческие меры, в том числе определяет потребность и направленность обучающих программ для врачей и среднего медицинского персонала.</w:t>
      </w:r>
    </w:p>
    <w:bookmarkEnd w:id="165"/>
    <w:bookmarkStart w:name="z179" w:id="1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Повторная экспертиза проводится в случаях несогласия с выводами внешней экспертизы на основании обращений субъектов здравоохранения, физических или юридических лиц.</w:t>
      </w:r>
    </w:p>
    <w:bookmarkEnd w:id="166"/>
    <w:bookmarkStart w:name="z180" w:id="1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проведении повторной экспертизы привлекаются эксперты, не принимавшие участие в первичной экспертизе. </w:t>
      </w:r>
    </w:p>
    <w:bookmarkEnd w:id="167"/>
    <w:bookmarkStart w:name="z181" w:id="1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42. Жалоба о несогласии с выводами внешней экспертизы подается в вышестоящий государственный орган (вышестоящему должностному лицу) либо в суд в соответствии требованием законодательства Республики Казахстан. </w:t>
      </w:r>
    </w:p>
    <w:bookmarkEnd w:id="16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 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внутренней и внешней экспертиз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качества медицинских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 (помощи)</w:t>
            </w:r>
          </w:p>
        </w:tc>
      </w:tr>
    </w:tbl>
    <w:bookmarkStart w:name="z183" w:id="16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Внутренние индикаторы</w:t>
      </w:r>
    </w:p>
    <w:bookmarkEnd w:id="169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18"/>
        <w:gridCol w:w="1701"/>
        <w:gridCol w:w="3813"/>
        <w:gridCol w:w="494"/>
        <w:gridCol w:w="3485"/>
        <w:gridCol w:w="2389"/>
      </w:tblGrid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индикаторов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Формула расчета/Единица измерения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информации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информации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Пороговое значение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 оценки для организаций, оказывающих стационарную помощь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летальности при плановой госпитализации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в стационаре (за исключением пациентов получающих онкологическую и паллиативную медицинскую помощь) от общего числа пациентов, выбывших (выписанных, умерших)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досуточной летальности в стационаре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в первые 24 часа пребывания стационаре от общего числа пациентов, поступивших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СКВС,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превышает 4 %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послеоперационной летальности в случаях плановой госпитализации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в стационаре после оперативных вмешательств от количества пациентов, прооперированных в плановом порядке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интраоперационных осложнений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интраоперационных осложнений от общего количества операции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МКСП, форма учета операции и манипуляции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превышает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послеоперационных осложнений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послеоперационных осложнений от общего количества операции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МКСП, форма учета операции и манипуляции,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превышает 3 %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материнской смертности, из них от: акушерских кровотечений, гестозов, абортов, экстрагенитальной патологии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Ежедневно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Данные мониторинга беременных, родильниц медицинской организации, карта учета материнской смертности,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 по причинам, которые поддаются управлению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родового травматизма женщин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родового травматизма от общего числа родов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форма учета операции и манипуляции,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экстренных кесаревых сечений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экстренных кесаревых сечений из общего числа кесаревых сечений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форма учета операции и манипуляции,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превышает 20 %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поступления беременных женщин, в стационар в течение суток после отказа в госпитализации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беременных женщин, поступивших в стационар в течение суток после отказа в госпитализации от общего числа госпитализированных беременных женщин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младенческой смертности, из них от: заболеваний органов дыхания, кишечных инфекций, врожденных пороков развития, болезней перинатального периода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РПН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травматизма новорожденных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травматизма новорожденных от общего числа новорожденных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интранатальной гибели плода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интранатальной гибели плода на 100 родившихся живыми и мертвыми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10 %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ранней неонатальной смертности (до 7 суток жизни)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ранней неонатальной смертности на 1000 родившихся живыми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РПН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гнойно-септических процессов после оперативных вмешательств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гнойно-септических процессов после оперативных вмешательств от общего количества операции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превышает 1 %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гнойно-септических процессов у новорожденных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гнойно-септических процессов новорожденных от количество родившихся живыми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повторного поступления в течение месяца по поводу одного и того же заболевания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повторных госпитализаций в течение месяца по поводу одного и того же заболевания от числа госпитализированных за отчетный период (за исключением пациентов с онкологическими и гематологическими заболеваниями, а также пациентов получающих заместительную терапию)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МКСП, СКВС,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расхождения клинического и патологоанатомического диагнозов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патологоанатомического исследования,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обоснованных обращении на качество оказания медицинских услуг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обоснованных жалоб на 1000 пролеченных пациентов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регистрации обращений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должен превышать 1,0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эпидемиологического расследования внутрибольничных инфекций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проведением эпидемиологического расследования от общего числа зарегистрированных случаев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установления причин и факторов возникновения и распространения внутрибольничных инфекций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установленными причинами и факторами возникновения и распространения внутрибольничных инфекций от общего числа зарегистрированных случаев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80%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 оценки для организаций, оказывающих амбулаторно-поликлиническую помощь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первичного выхода на инвалидность лиц трудоспособного возраста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Данные территориального Департамента Комитета труда, социальной защиты и миграции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1 %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материнской смертности, с дефектами оказания медицинских услуг на уровне организаций ПМСП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материнской смерти среди прикрепленных жителей с подтвержденными дефектами (экспертами) на уровне организации ПМСП, за отчетный период на количество прикрепленных женщин фертильного возраста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учета материнской смертности (результаты внешней экспертизы)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оздоровленных женщин с экстрагенитальной патологией среди женщин фертильного возраста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оздоровленных женщин фертильного возраста на общее количество женщин фертильного возраста из числа прикрепленного населения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статистическая карта амбулаторного пациента, МИС, ИС ЭРДБ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Увеличение показателя на 5 % по сравнению с предыдущим периодом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контрацепцией женщин с абсолютными противопоказаниями к вынашиванию беременности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охваченных контрацепцией женщин с абсолютными противопоказаниями к вынашиванию беременности от общего числа женщин с абсолютными противопоказаниями к вынашиванию беременности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ИС РБЖФВ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уровня абортов по отношению к родам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абортов к количеству родов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СКВС,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госпитализации беременных женщин, с нарушением принципа регионализации (по данным круглосуточного стационара)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беременных женщин, госпитализированных с нарушением принципа регионализации от общего числа госпитализированных беременных женщин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СКВС (диагноз по международной классификации болезней с указанием родоразрешения), ИС РБЖФВ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младенческой смертности, с дефектами оказания медицинских услуг на уровне ПМСП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детей в возрасте от 0 до 1 года, предотвратимых на уровне ПМСП на количество детей в возрасте от 0 до 1 года среди прикрепленного населения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учета, родившегося живым, мертворожденного и умершего ребенка в возрасте до 1 года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обученнести медицинских работников (врачей, средних медицинских работников) ПМСП по программе ИВБДВ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обученных медицинских работников (врачей, средних медицинских работников) ПМСП по программе ИВБДВ от общего количества медицинских работников ПМСП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 отдела кадров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менее 70 %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посещаемости врачом новорожденных в первые 3 дня после выписки из роддома (патронаж)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посещенных врачом новорожденных в первые 3 дня после выписки из роддома (патронаж) на количество новорожденных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экстренной госпитализации детей до 5 лет с ОКИ, ОРИ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госпитализации детей до 5 лет с ОКИ, ОРИ на общее количество госпитализации детей до 5 лет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1 %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обученности родителей детей до 5 лет по признакам опасности в соответствии с принципами программы ИВБДВ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родителей детей до 5 лет, обученных признакам опасности в соответствии с принципами программы ИВБДВ на количество детей до 5 лет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кабинета здорового ребенка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врожденных пороков развития у новорожденных недиагностированных внутриутробно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индивидуальная карта беременной, роженицы, родильницы,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получения исключительного грудного вскармливания детей в возрасте 6 месяцев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детей в возрасте 6 месяцев, получающих исключительно грудное вскармливание от общего количества детей в возрасте 6 месяцев, за исключением детей отказных подкидышей и детей, родившихся от ВИЧ-инфицированных матерей, матерей, принимающих цитостатики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получения грудного вскармливания детей до 2 лет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детей, получающих грудное вскармливание до 2 лет от общего количества детей до 2 лет, за исключением детей отказных подкидышей и детей, родившихся от ВИЧ-инфицированных матерей, матерей, принимающих цитостатики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Увеличение показателя на 5 % по сравнению с предыдущим периодом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запущенных случаев среди впервые выявленных больных с туберкулезом легких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запущенных случаев у впервые выявленных туберкулезом легких среди прикрепленного населения на количество впервые выявленных случаев туберкулеза легких среди прикрепленного населения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ЭРДБ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настоящего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флюорографическим обследованием групп населения с высоким риском заболевания туберкулезом определяемым уполномоченным органом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охваченных флюорографическим обследованием групп населения с высоким риском заболевания туберкулезом от общего количества населения с высоким риском заболевания туберкулезом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 проведения флюорографических обследований, журнал регистрации флюорографических обследований, отчетные формы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обязательного контингента флюорографическим обследованием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обязательного контингента охваченный флюорографическим обследованием от общего количества обязательного контингента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План проведения флюорографических обследований, журнал регистрации флюорографических обследований, отчетные формы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выявляемости больных туберкулезом методом флюорографии среди групп населения с высоким риском заболевания туберкулезом определяемым уполномоченным органом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выявленных больных туберкулезом методом флюорографии среди групп населения с высоким риском заболевания туберкулезом на 1000 обследовании населения с высоким риском заболевания туберкулезом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регистрации флюорографических обследований,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составляет не менее 2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выявляемости больных с подозрением на туберкулез среди обследованных лиц методом микроскопии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выявления туберкулеза методом микроскопии от общего количества больных с подозрением на туберкулез направленных на обследование методом микроскопии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Лабораторный регистрационный журнал для лабораторий ПМСП, направление на лабораторное исследование услуги, на консультационные услуги, на госпитализацию, перевод в другой стационар, МИС, ИС НРБТ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составляет 5-10%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больных туберкулезом, прервавших терапию на уровне ПМСП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впервые выявленных больных злокачественными новообразованиями 3-4 стадии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впервые выявленных больных злокачественными новообразованиями 3-4 стадии от общего количества впервые выявленных больных злокачественными новообразованиями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ЭРОБ)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показателя на 5 % по сравнению с предыдущим периодом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впервые выявленных больных злокачественными новообразованиями 1-2 стадии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впервые выявленных больных злокачественными новообразованиями 1-2 стадии от общего количества выявленных больных злокачественными новообразованиями за отчетный период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ЭРОБ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Увеличение показателя на 1 % по сравнению с предыдущим периодом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5-летней выживаемости больных злокачественными новообразованиями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5-летней выживаемости больных злокачественными новообразованиями на общее количество больных с злокачественными новообразованиями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 раз в год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 ЭРОБ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составляет не менее 50 %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обоснованных обращении на качество оказания медицинских услуг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обоснованных жалоб на 1000 случаев поликлинического обращения пациента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регистрации обращений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должен превышать 3,0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4" w:id="1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госпитализации больных с осложнениями заболеваний сердечно-сосудистой системы (артериальная гипертензия,</w:t>
            </w:r>
          </w:p>
          <w:bookmarkEnd w:id="17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инфаркт миокарда,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инсульт)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86"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стационарно пролеченных больных с осложнениями заболеваний сердечно-сосудистой системы (артериальная гипертензия,</w:t>
            </w:r>
          </w:p>
          <w:bookmarkEnd w:id="17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инфаркт миокарда,</w:t>
            </w:r>
          </w:p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инсульт) на количество прикрепленного населения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СКВС, ИС ЭРСБ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10 %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эпидемиологического расследования внутрибольничных инфекций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проведением эпидемиологического расследования от общего числа зарегистрированных внутрибольничных инфекций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установления причин и факторов возникновения и распространения внутрибольничных инфекций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установленными причинами и факторами возникновения и распространения внутрибольничных инфекций от общего числа зарегистрированных случаев внутрибольничных инфекций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80 %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иммунизацией детей до 5 лет против целевых инфекций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детей целевой группы, охваченных иммунизацией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 в нарастании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Отчетная форма № 4, утвержденная приказом Министра национальной экономики Республики Казахстан от 30 мая 2015 года № 415, журнал учета профилактических прививок,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95 % за год (ежемесячно не менее 7,9 %)</w:t>
            </w:r>
          </w:p>
        </w:tc>
      </w:tr>
      <w:tr>
        <w:trPr>
          <w:trHeight w:val="30" w:hRule="atLeast"/>
        </w:trPr>
        <w:tc>
          <w:tcPr>
            <w:tcW w:w="41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</w:t>
            </w:r>
          </w:p>
        </w:tc>
        <w:tc>
          <w:tcPr>
            <w:tcW w:w="170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медицинской реабилитацией 3 этапа</w:t>
            </w:r>
          </w:p>
        </w:tc>
        <w:tc>
          <w:tcPr>
            <w:tcW w:w="3813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пациентов, охваченных медицинской реабилитацией к общему числу пациентов, подлежащих медицинской реабилитации</w:t>
            </w:r>
          </w:p>
        </w:tc>
        <w:tc>
          <w:tcPr>
            <w:tcW w:w="49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 в нарастании</w:t>
            </w:r>
          </w:p>
        </w:tc>
        <w:tc>
          <w:tcPr>
            <w:tcW w:w="348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МКАП, МИС</w:t>
            </w:r>
          </w:p>
        </w:tc>
        <w:tc>
          <w:tcPr>
            <w:tcW w:w="238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85 % за год</w:t>
            </w:r>
          </w:p>
        </w:tc>
      </w:tr>
    </w:tbl>
    <w:bookmarkStart w:name="z188" w:id="1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Расшифровка аббревиатур и сокращений:</w:t>
      </w:r>
    </w:p>
    <w:bookmarkEnd w:id="172"/>
    <w:bookmarkStart w:name="z189" w:id="1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МКСП – медицинская карта стационарного пациента</w:t>
      </w:r>
    </w:p>
    <w:bookmarkEnd w:id="173"/>
    <w:bookmarkStart w:name="z190" w:id="1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ИС ЭРСБ - информационная система "Электронный регистр стационарных больных"</w:t>
      </w:r>
    </w:p>
    <w:bookmarkEnd w:id="174"/>
    <w:bookmarkStart w:name="z191" w:id="1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СКВС – статистическая карта выбывшего из стационара</w:t>
      </w:r>
    </w:p>
    <w:bookmarkEnd w:id="175"/>
    <w:bookmarkStart w:name="z192" w:id="1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ИС РПН - информационная система "Регистр прикрепленного пациента"</w:t>
      </w:r>
    </w:p>
    <w:bookmarkEnd w:id="176"/>
    <w:bookmarkStart w:name="z193" w:id="1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ПМСП - первичная медико-санитарная помощь</w:t>
      </w:r>
    </w:p>
    <w:bookmarkEnd w:id="177"/>
    <w:bookmarkStart w:name="z194" w:id="1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МКАП – медицинская карта амбулаторного пациента</w:t>
      </w:r>
    </w:p>
    <w:bookmarkEnd w:id="178"/>
    <w:bookmarkStart w:name="z195" w:id="1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МИС – медицинские информационные системы</w:t>
      </w:r>
    </w:p>
    <w:bookmarkEnd w:id="179"/>
    <w:bookmarkStart w:name="z196" w:id="1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ИС ЭРДБ - информационная система "Электронный реестр диспансерных больных"</w:t>
      </w:r>
    </w:p>
    <w:bookmarkEnd w:id="180"/>
    <w:bookmarkStart w:name="z197" w:id="18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ИС РБЖФВ - информационная система "Регистр беременных и женщин фертильного возраста"</w:t>
      </w:r>
    </w:p>
    <w:bookmarkEnd w:id="181"/>
    <w:bookmarkStart w:name="z198" w:id="1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программа ИВБДВ – программа интегрированного ведения болезней детского возраста</w:t>
      </w:r>
    </w:p>
    <w:bookmarkEnd w:id="182"/>
    <w:bookmarkStart w:name="z199" w:id="1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ОКИ – острая кишечная инфекция</w:t>
      </w:r>
    </w:p>
    <w:bookmarkEnd w:id="183"/>
    <w:bookmarkStart w:name="z200" w:id="1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ОРИ – острая респираторная инфекция</w:t>
      </w:r>
    </w:p>
    <w:bookmarkEnd w:id="184"/>
    <w:bookmarkStart w:name="z201" w:id="1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ИС НРБТ- информационная система "Национальный реестр больных туберкулезом"</w:t>
      </w:r>
    </w:p>
    <w:bookmarkEnd w:id="185"/>
    <w:bookmarkStart w:name="z202" w:id="1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ИС ЭРОБ - информационная система "Электронный регистр онкологических больных"</w:t>
      </w:r>
    </w:p>
    <w:bookmarkEnd w:id="18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 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внутренней и внешней экспертиз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качества медицинских услуг (помощи)</w:t>
            </w:r>
          </w:p>
        </w:tc>
      </w:tr>
    </w:tbl>
    <w:bookmarkStart w:name="z204" w:id="18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Внешние индикаторы</w:t>
      </w:r>
    </w:p>
    <w:bookmarkEnd w:id="187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450"/>
        <w:gridCol w:w="1831"/>
        <w:gridCol w:w="3728"/>
        <w:gridCol w:w="290"/>
        <w:gridCol w:w="3591"/>
        <w:gridCol w:w="2410"/>
      </w:tblGrid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индикаторов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Единица измерения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Периодичность информации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Источник информации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Пороговое значение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 оценки для организаций, оказывающих стационарную помощь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летальности при плановой госпитализации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в стационаре (за исключением пациентов, получающих онкологическую и паллиативную медицинскую помощь) от общего числа пациентов, выбывших (выписанных, умерших) за отчетный период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послеоперационной летальности в случаях плановой госпитализации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в стационаре после оперативных вмешательств от количества пациентов, прооперированных в плановом порядке за отчетный период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материнской смертности, из них от: акушерских кровотечений, гестозов, абортов, экстрагенитальной патологии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Данные мониторинга беременных, родильниц медицинской организации, карта учета материнской смертности, ИС ЭРСБ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 по причинам, поддающимся управлению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младенческой смертности, из них от: заболеваний органов дыхания, кишечных инфекций, врожденных пороков развития, болезней перинатального периода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учета, родившегося живым, мертворожденного и умершего ребенка в возрасте до 5 лет, информационная система "Регистр прикрепленного пациента"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повторного поступления в течение месяца по поводу одного и того же заболевания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повторных госпитализаций в течение месяца по поводу одного и того же заболевания от числа госпитализированных за отчетный период (за исключением пациентов с онкологическими и гематологическими заболеваниями, а также пациентов, получающих заместительную терапию)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Отчетные данные, МКСП, СКВС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расхождения клинического и патологоанатомического диагнозов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Абсолютное число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патологоанатомического исследования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обоснованных обращении на качество оказания медицинских услуг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обоснованных жалоб на 1000 пролеченных пациентов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регистрации обращений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должен превышать 1,0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эпидемиологического расследования внутрибольничных инфекций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проведением эпидемиологического расследования от общего числа зарегистрированных случаев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Протокола разбора случаев на заседании комиссии инфекционного контроля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100 %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установления причин и факторов возникновения и распространения внутрибольничных инфекций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установленными причинами и факторами возникновения и распространения внутрибольничных инфекций от общего числа зарегистрированных случаев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Протокола разбора случаев на заседании комиссии инфекционного контроля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80 %</w:t>
            </w:r>
          </w:p>
        </w:tc>
      </w:tr>
      <w:tr>
        <w:trPr>
          <w:trHeight w:val="30" w:hRule="atLeast"/>
        </w:trPr>
        <w:tc>
          <w:tcPr>
            <w:tcW w:w="0" w:type="auto"/>
            <w:gridSpan w:val="6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Индикаторы оценки для организаций, оказывающих амбулаторно-поликлиническую помощь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материнской смертности, с дефектами оказания медицинских услуг на уровне ПМСП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материнской смерти среди прикрепленных жителей с подтвержденными дефектами (экспертами) на уровне ПМСП, за отчетный период на количество прикрепленных женщин фертильного возраста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учета материнской смертности (результаты внешней экспертизы)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младенческой смертности, с дефектами оказания медицинских услуг на уровне ПМСП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умерших детей в возрасте от 0 до 1 года, предотвратимых на уровне ПМСП на количество детей в возрасте от 0 до 1 года среди прикрепленного населения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Карта учета, родившегося живым, мертворожденного и умершего ребенка в возрасте до 1 года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беременности ЖФВ с экстрагенитальной патологией, которым абсолютно противопоказана беременность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беременности ЖФВ с экстрагенитальной патологией, которым абсолютно противопоказана беременность среди прикрепленных жителей на общее количество ЖФВ среди прикрепленных жителей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СКВС, информационная система "Регистр беременных и женщин фертильного возраста"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нулю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запущенных случаев среди впервые выявленных больных с туберкулезом легких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запущенных случаев у впервые выявленных туберкулезом легких среди прикрепленного населения на количество впервые выявленных случаев туберкулеза легких среди прикрепленного населения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Информационная система "Национальный реестр больных туберкулезом"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впервые выявленных больных злокачественными новообразованиями 3-4 стадии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впервые выявленных больных злокачественными новообразованиями 3-4 стадии от общего количества впервые выявленных больных злокачественными новообразованиями за отчетный период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Информационная система "Электронный регистр онкологических больных"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обоснованных обращении на качество оказания медицинских услуг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Количество обоснованных жалоб на 1000 случаев поликлинического обращения пациента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Журнал регистрации обращений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должен превышать 3,0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госпитализации больных с осложнениями заболеваний сердечно-сосудистой системы (артериальная гипертензия, инфаркт миокарда, инсульт)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стационарно пролеченных больных с осложнениями заболеваний сердечно-сосудистой системы (артериальная гипертензия, инфаркт миокарда, инсульт) на количество прикрепленного населения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Ежеквартально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СКВС, ИС ЭРСБ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Уменьшение значения показателя отчетного периода по сравнению с предыдущим на 5 %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эпидемиологического расследования внутрибольничных инфекций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проведением эпидемиологического расследования от общего числа зарегистрированных случаев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не должен превышать 3,0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установления причин и факторов возникновения и распространения внутрибольничных инфекций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случаев внутрибольничных инфекций с установленными причинами и факторами возникновения и распространения внутрибольничных инфекций от общего числа зарегистрированных случаев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Протокол разбора случаев на заседании комиссии инфекционного контроля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80%</w:t>
            </w:r>
          </w:p>
        </w:tc>
      </w:tr>
      <w:tr>
        <w:trPr>
          <w:trHeight w:val="30" w:hRule="atLeast"/>
        </w:trPr>
        <w:tc>
          <w:tcPr>
            <w:tcW w:w="45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83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Показатель охвата иммунизацией детей до 5 лет против целевых инфекций</w:t>
            </w:r>
          </w:p>
        </w:tc>
        <w:tc>
          <w:tcPr>
            <w:tcW w:w="372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Удельный вес (%) детей целевой группы, охваченных иммунизацией</w:t>
            </w:r>
          </w:p>
        </w:tc>
        <w:tc>
          <w:tcPr>
            <w:tcW w:w="29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Ежемесячно в нарастании</w:t>
            </w:r>
          </w:p>
        </w:tc>
        <w:tc>
          <w:tcPr>
            <w:tcW w:w="359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Отчетная форма № 4, утвержденная приказом Министра национальной экономики Республики Казахстан от 30 мая 2015 года № 415, журнал учета профилактических прививок</w:t>
            </w:r>
          </w:p>
        </w:tc>
        <w:tc>
          <w:tcPr>
            <w:tcW w:w="2410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Значение индикатора стремится к 95% за год (ежемесячно не менее 7,9%)</w:t>
            </w:r>
          </w:p>
        </w:tc>
      </w:tr>
    </w:tbl>
    <w:bookmarkStart w:name="z205" w:id="1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Расшифровка аббревиатур и сокращений:</w:t>
      </w:r>
    </w:p>
    <w:bookmarkEnd w:id="188"/>
    <w:bookmarkStart w:name="z206" w:id="18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МКСП – медицинская карта стационарного пациента</w:t>
      </w:r>
    </w:p>
    <w:bookmarkEnd w:id="189"/>
    <w:bookmarkStart w:name="z207" w:id="1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ИС ЭРСБ - информационная система "Электронный регистр стационарных больных"</w:t>
      </w:r>
    </w:p>
    <w:bookmarkEnd w:id="190"/>
    <w:bookmarkStart w:name="z208" w:id="1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СКВС – статистическая карта выбывшего из стационара</w:t>
      </w:r>
    </w:p>
    <w:bookmarkEnd w:id="191"/>
    <w:bookmarkStart w:name="z209" w:id="1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ПМСП - первичная медико-санитарная помощь</w:t>
      </w:r>
    </w:p>
    <w:bookmarkEnd w:id="192"/>
    <w:bookmarkStart w:name="z210" w:id="1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ЖФВ - женщины фертильного возраста</w:t>
      </w:r>
    </w:p>
    <w:bookmarkEnd w:id="193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 к Правилам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организации и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внутренней и внешней экспертиз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качества медицинских услуг (помощи)</w:t>
            </w:r>
          </w:p>
        </w:tc>
      </w:tr>
    </w:tbl>
    <w:bookmarkStart w:name="z212" w:id="194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                         Экспертное заключение </w:t>
      </w:r>
    </w:p>
    <w:bookmarkEnd w:id="194"/>
    <w:bookmarkStart w:name="z213" w:id="1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Фамилия, имя, отчество (при его наличии) лица, проводившего экспертизу, с указанием специальности, должности, ученой степени.</w:t>
      </w:r>
    </w:p>
    <w:bookmarkEnd w:id="195"/>
    <w:bookmarkStart w:name="z214" w:id="1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Наименование субъекта (объекта) здравоохранения, в котором проводилась экспертиза</w:t>
      </w:r>
    </w:p>
    <w:bookmarkEnd w:id="196"/>
    <w:bookmarkStart w:name="z215" w:id="19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Основание проведения экспертизы, либо сведения о заказчике</w:t>
      </w:r>
    </w:p>
    <w:bookmarkEnd w:id="197"/>
    <w:bookmarkStart w:name="z216" w:id="19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Сроки проведения экспертизы</w:t>
      </w:r>
    </w:p>
    <w:bookmarkEnd w:id="198"/>
    <w:bookmarkStart w:name="z217" w:id="1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Период проведения экспертизы</w:t>
      </w:r>
    </w:p>
    <w:bookmarkEnd w:id="199"/>
    <w:bookmarkStart w:name="z218" w:id="2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Предмет экспертизы</w:t>
      </w:r>
    </w:p>
    <w:bookmarkEnd w:id="200"/>
    <w:bookmarkStart w:name="z219" w:id="2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Сведения о результатах экспертизы, в том числе о выявленных нарушениях, об их характере</w:t>
      </w:r>
    </w:p>
    <w:bookmarkEnd w:id="201"/>
    <w:bookmarkStart w:name="z220" w:id="2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Выводы</w:t>
      </w:r>
    </w:p>
    <w:bookmarkEnd w:id="202"/>
    <w:bookmarkStart w:name="z221" w:id="2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Рекомендации</w:t>
      </w:r>
    </w:p>
    <w:bookmarkEnd w:id="203"/>
    <w:p>
      <w:pPr>
        <w:spacing w:after="0"/>
        <w:ind w:left="0"/>
        <w:jc w:val="both"/>
      </w:pPr>
      <w:bookmarkStart w:name="z222" w:id="204"/>
      <w:r>
        <w:rPr>
          <w:rFonts w:ascii="Times New Roman"/>
          <w:b w:val="false"/>
          <w:i w:val="false"/>
          <w:color w:val="000000"/>
          <w:sz w:val="28"/>
        </w:rPr>
        <w:t>
      _________________________________________________ ________________________</w:t>
      </w:r>
    </w:p>
    <w:bookmarkEnd w:id="2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Фамилия, имя, отчество (при его наличии),             подпись лица, проводившего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                                                       экспертизу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Дата "____" ___________ 20 ___ года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 декабря 2020 года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№ ҚР ДСМ-230/2020</w:t>
            </w:r>
          </w:p>
        </w:tc>
      </w:tr>
    </w:tbl>
    <w:bookmarkStart w:name="z224" w:id="20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Перечень некоторых утративших силу приказов в области здравоохранения</w:t>
      </w:r>
    </w:p>
    <w:bookmarkEnd w:id="205"/>
    <w:bookmarkStart w:name="z225" w:id="20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27 марта 2015 года № 173 "Об утверждении Правил организации и проведения внутренней и внешней экспертиз качества медицинских услуг" (зарегистрирован в Реестре государственной регистрации нормативных правовых актов под № 10880, опубликован 1 октября 2015 года в газете "Казахстанская правда" № 187);</w:t>
      </w:r>
    </w:p>
    <w:bookmarkEnd w:id="206"/>
    <w:bookmarkStart w:name="z226" w:id="20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28 июня 2016 года № 568 "О внесении изменения в приказ Министра здравоохранения и социального развития Республики Казахстан от 27 марта 2015 года № 173 "Об утверждении Правил организации и проведения внутренней и внешней экспертиз качества медицинских услуг" (зарегистрирован в Реестре государственной регистрации нормативных правовых актов под № 14026, опубликован 15 сентября 2016 года в Эталонном контрольном банке нормативных правовых актов Республики Казахстан в электронном виде);</w:t>
      </w:r>
    </w:p>
    <w:bookmarkEnd w:id="207"/>
    <w:bookmarkStart w:name="z227" w:id="20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11 февраля 2019 года № ҚР ДСМ-3 "О внесении изменений и дополнения в приказ Министра здравоохранения и социального развития Республики Казахстан от 27 марта 2015 года № 173 "Об утверждении Правил организации и проведения внутренней и внешней экспертиз качества медицинских услуг" (зарегистрирован в Реестре государственной регистрации нормативных правовых актов под № 18300, опубликован 15 февраля 2019 года в Эталонном контрольном банке нормативных правовых актов Республики Казахстан в электронном виде).</w:t>
      </w:r>
    </w:p>
    <w:bookmarkEnd w:id="208"/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